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24" w:rsidRPr="00657124" w:rsidRDefault="00657124" w:rsidP="0065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761230" cy="425450"/>
            <wp:effectExtent l="19050" t="0" r="1270" b="0"/>
            <wp:docPr id="1" name="Image 1" descr="en direct de ma c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direct de ma commu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275"/>
        <w:gridCol w:w="2225"/>
      </w:tblGrid>
      <w:tr w:rsidR="00657124" w:rsidRPr="00657124" w:rsidTr="00657124">
        <w:trPr>
          <w:tblCellSpacing w:w="0" w:type="dxa"/>
        </w:trPr>
        <w:tc>
          <w:tcPr>
            <w:tcW w:w="0" w:type="auto"/>
            <w:vAlign w:val="center"/>
            <w:hideMark/>
          </w:tcPr>
          <w:p w:rsidR="00657124" w:rsidRPr="00657124" w:rsidRDefault="00657124" w:rsidP="00657124">
            <w:pPr>
              <w:spacing w:after="0" w:line="240" w:lineRule="auto"/>
              <w:divId w:val="157620962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71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Journal Ouest-France du </w:t>
            </w:r>
            <w:r w:rsidRPr="0065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11/11/2014</w:t>
            </w:r>
            <w:r w:rsidRPr="006571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Edition : </w:t>
            </w:r>
            <w:proofErr w:type="spellStart"/>
            <w:r w:rsidRPr="0065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Chateaubriant</w:t>
            </w:r>
            <w:proofErr w:type="spellEnd"/>
            <w:r w:rsidRPr="0065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Ancenis</w:t>
            </w:r>
            <w:r w:rsidRPr="006571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Rubriques : </w:t>
            </w:r>
            <w:r w:rsidRPr="0065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Varades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8"/>
              <w:gridCol w:w="1877"/>
            </w:tblGrid>
            <w:tr w:rsidR="00657124" w:rsidRPr="00657124">
              <w:trPr>
                <w:tblCellSpacing w:w="15" w:type="dxa"/>
                <w:jc w:val="right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657124" w:rsidRPr="00657124" w:rsidRDefault="00657124" w:rsidP="00657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73355" cy="157480"/>
                        <wp:effectExtent l="19050" t="0" r="0" b="0"/>
                        <wp:docPr id="2" name="Image 2" descr="http://endirectdemacommune.ouestfrance.fr/images/macommune/logoRetListe.gif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endirectdemacommune.ouestfrance.fr/images/macommune/logoRetListe.gif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" cy="157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0749A5"/>
                  <w:vAlign w:val="center"/>
                  <w:hideMark/>
                </w:tcPr>
                <w:p w:rsidR="00657124" w:rsidRPr="00657124" w:rsidRDefault="00657124" w:rsidP="00657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" w:history="1">
                    <w:r w:rsidRPr="0065712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retour liste résultats</w:t>
                    </w:r>
                  </w:hyperlink>
                </w:p>
              </w:tc>
            </w:tr>
          </w:tbl>
          <w:p w:rsidR="00657124" w:rsidRPr="00657124" w:rsidRDefault="00657124" w:rsidP="0065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8"/>
              <w:gridCol w:w="1877"/>
            </w:tblGrid>
            <w:tr w:rsidR="00657124" w:rsidRPr="00657124">
              <w:trPr>
                <w:tblCellSpacing w:w="15" w:type="dxa"/>
                <w:jc w:val="right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657124" w:rsidRPr="00657124" w:rsidRDefault="00657124" w:rsidP="00657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73355" cy="157480"/>
                        <wp:effectExtent l="19050" t="0" r="0" b="0"/>
                        <wp:docPr id="3" name="Image 3" descr="http://endirectdemacommune.ouestfrance.fr/images/macommune/logoPDF.gif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endirectdemacommune.ouestfrance.fr/images/macommune/logoPDF.gif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" cy="157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0749A5"/>
                  <w:vAlign w:val="center"/>
                  <w:hideMark/>
                </w:tcPr>
                <w:p w:rsidR="00657124" w:rsidRPr="00657124" w:rsidRDefault="00657124" w:rsidP="00657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" w:anchor="zoom=125,11,676" w:tgtFrame="_blank" w:history="1">
                    <w:r w:rsidRPr="0065712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voir la page entière</w:t>
                    </w:r>
                  </w:hyperlink>
                </w:p>
              </w:tc>
            </w:tr>
          </w:tbl>
          <w:p w:rsidR="00657124" w:rsidRPr="00657124" w:rsidRDefault="00657124" w:rsidP="0065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57124" w:rsidRPr="00657124" w:rsidRDefault="00657124" w:rsidP="0065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124">
        <w:rPr>
          <w:rFonts w:ascii="Times New Roman" w:eastAsia="Times New Roman" w:hAnsi="Times New Roman" w:cs="Times New Roman"/>
          <w:sz w:val="24"/>
          <w:szCs w:val="24"/>
          <w:lang w:eastAsia="fr-FR"/>
        </w:rPr>
        <w:t>La Foire-exposition 2015 sous le signe du rail</w:t>
      </w:r>
    </w:p>
    <w:tbl>
      <w:tblPr>
        <w:tblpPr w:leftFromText="542" w:rightFromText="45" w:topFromText="248" w:bottomFromText="248" w:vertAnchor="text" w:tblpXSpec="right" w:tblpYSpec="center"/>
        <w:tblW w:w="29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80"/>
      </w:tblGrid>
      <w:tr w:rsidR="00657124" w:rsidRPr="00657124" w:rsidTr="00657124">
        <w:trPr>
          <w:tblCellSpacing w:w="0" w:type="dxa"/>
        </w:trPr>
        <w:tc>
          <w:tcPr>
            <w:tcW w:w="0" w:type="auto"/>
            <w:vAlign w:val="center"/>
            <w:hideMark/>
          </w:tcPr>
          <w:p w:rsidR="00657124" w:rsidRPr="00657124" w:rsidRDefault="00657124" w:rsidP="0065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6571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/>
            </w:r>
            <w:r w:rsidRPr="006571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HYPERLINK "javascript:MM_openBrWindow('/scripts/consult/macommune/doc/doc_zoom.asp?IN_PHOTO=na91_4091442_1&amp;IN_DOCDATE=20141111&amp;email=crivereaud44%40orange%2Efr&amp;pwd=yvounet','miniSite','scrollbars=yes,resizable=yes,width=690,height=570')" </w:instrText>
            </w:r>
            <w:r w:rsidRPr="006571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2380615" cy="1797050"/>
                  <wp:effectExtent l="19050" t="0" r="635" b="0"/>
                  <wp:docPr id="4" name="Image 4" descr="http://photos.ouestfrance-enligne.com/2014/11/11/na91_4091442_1_pre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hotos.ouestfrance-enligne.com/2014/11/11/na91_4091442_1_pre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179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71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 xml:space="preserve">Deux entrants au Conseil d'administration : Jérôme </w:t>
            </w:r>
            <w:proofErr w:type="spellStart"/>
            <w:r w:rsidRPr="006571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Chresneau</w:t>
            </w:r>
            <w:proofErr w:type="spellEnd"/>
            <w:r w:rsidRPr="006571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 xml:space="preserve"> et Patrick </w:t>
            </w:r>
            <w:proofErr w:type="spellStart"/>
            <w:r w:rsidRPr="006571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Hodé</w:t>
            </w:r>
            <w:proofErr w:type="spellEnd"/>
            <w:r w:rsidRPr="006571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 xml:space="preserve"> (8</w:t>
            </w:r>
            <w:r w:rsidRPr="006571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vertAlign w:val="superscript"/>
                <w:lang w:eastAsia="fr-FR"/>
              </w:rPr>
              <w:t>e</w:t>
            </w:r>
            <w:r w:rsidRPr="006571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 xml:space="preserve"> et 11</w:t>
            </w:r>
            <w:r w:rsidRPr="006571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vertAlign w:val="superscript"/>
                <w:lang w:eastAsia="fr-FR"/>
              </w:rPr>
              <w:t>e</w:t>
            </w:r>
            <w:r w:rsidRPr="006571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 xml:space="preserve"> à partir de la gauche) et un partant : Marcel Rousseau (9</w:t>
            </w:r>
            <w:r w:rsidRPr="006571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vertAlign w:val="superscript"/>
                <w:lang w:eastAsia="fr-FR"/>
              </w:rPr>
              <w:t>e</w:t>
            </w:r>
            <w:r w:rsidRPr="006571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), qui ne se représente pas.</w:t>
            </w:r>
          </w:p>
          <w:p w:rsidR="00657124" w:rsidRPr="00657124" w:rsidRDefault="00657124" w:rsidP="0065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71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</w:p>
        </w:tc>
      </w:tr>
    </w:tbl>
    <w:p w:rsidR="00657124" w:rsidRPr="00657124" w:rsidRDefault="00657124" w:rsidP="0065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124">
        <w:rPr>
          <w:rFonts w:ascii="Times New Roman" w:eastAsia="Times New Roman" w:hAnsi="Times New Roman" w:cs="Times New Roman"/>
          <w:sz w:val="24"/>
          <w:szCs w:val="24"/>
          <w:lang w:eastAsia="fr-FR"/>
        </w:rPr>
        <w:t>La 65</w:t>
      </w:r>
      <w:r w:rsidRPr="006571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  <w:r w:rsidRPr="006571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Foire-exposition aura lieu le week-end des 7 et 8 mars. </w:t>
      </w:r>
      <w:r w:rsidRPr="0065712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 C'est la principale activité de l'année,</w:t>
      </w:r>
      <w:r w:rsidRPr="006571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explique Jean Clemenceau, président du syndicat d'initiative. </w:t>
      </w:r>
      <w:r w:rsidRPr="0065712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C'est une très grosse mobilisation pendant une semaine ».</w:t>
      </w:r>
    </w:p>
    <w:p w:rsidR="00657124" w:rsidRPr="00657124" w:rsidRDefault="00657124" w:rsidP="00657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124">
        <w:rPr>
          <w:rFonts w:ascii="Times New Roman" w:eastAsia="Times New Roman" w:hAnsi="Times New Roman" w:cs="Times New Roman"/>
          <w:sz w:val="24"/>
          <w:szCs w:val="24"/>
          <w:lang w:eastAsia="fr-FR"/>
        </w:rPr>
        <w:t>La foire a été le thème central de l'assemblée générale du S.I. vendredi 7 novembre, au foyer sportif. Le thème de la foire 2015 sera</w:t>
      </w:r>
      <w:r w:rsidRPr="0065712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6571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 La vie du rail ». </w:t>
      </w:r>
      <w:r w:rsidRPr="0065712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 On va rencontrer la direction SNCF de Nantes à ce sujet. »</w:t>
      </w:r>
    </w:p>
    <w:p w:rsidR="00657124" w:rsidRPr="00657124" w:rsidRDefault="00657124" w:rsidP="00657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124">
        <w:rPr>
          <w:rFonts w:ascii="Times New Roman" w:eastAsia="Times New Roman" w:hAnsi="Times New Roman" w:cs="Times New Roman"/>
          <w:sz w:val="24"/>
          <w:szCs w:val="24"/>
          <w:lang w:eastAsia="fr-FR"/>
        </w:rPr>
        <w:t>Les concours des vins et de charcuterie se dérouleront samedi 7 mars. Pour le spectacle du soir, l'espace Alexandre-Gautier accueillera la compagnie Normandie en fêt</w:t>
      </w:r>
      <w:r w:rsidRPr="0065712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</w:t>
      </w:r>
      <w:r w:rsidRPr="006571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La foire reste un grand moment d'animation pour Varades. </w:t>
      </w:r>
      <w:r w:rsidRPr="0065712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 On estime entre 8 000 et 10 000 le nombre de visiteurs dans le week-end,</w:t>
      </w:r>
      <w:r w:rsidRPr="006571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indique Marie-Renée </w:t>
      </w:r>
      <w:proofErr w:type="spellStart"/>
      <w:r w:rsidRPr="00657124">
        <w:rPr>
          <w:rFonts w:ascii="Times New Roman" w:eastAsia="Times New Roman" w:hAnsi="Times New Roman" w:cs="Times New Roman"/>
          <w:sz w:val="24"/>
          <w:szCs w:val="24"/>
          <w:lang w:eastAsia="fr-FR"/>
        </w:rPr>
        <w:t>Gaudiche</w:t>
      </w:r>
      <w:proofErr w:type="spellEnd"/>
      <w:r w:rsidRPr="006571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secrétaire. </w:t>
      </w:r>
      <w:r w:rsidRPr="0065712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Plus de 200 bénévoles se sont mobilisés pendant cinq jours. »</w:t>
      </w:r>
    </w:p>
    <w:p w:rsidR="00657124" w:rsidRPr="00657124" w:rsidRDefault="00657124" w:rsidP="00657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124">
        <w:rPr>
          <w:rFonts w:ascii="Times New Roman" w:eastAsia="Times New Roman" w:hAnsi="Times New Roman" w:cs="Times New Roman"/>
          <w:sz w:val="24"/>
          <w:szCs w:val="24"/>
          <w:lang w:eastAsia="fr-FR"/>
        </w:rPr>
        <w:t>Jean Charbonnier souhaite une réorganisation :</w:t>
      </w:r>
      <w:r w:rsidRPr="0065712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« Un chapiteau unique, mais plus grand, au lieu de deux. Les commerçants qui sont sous le petit chapiteau se sentent lésés. »</w:t>
      </w:r>
      <w:r w:rsidRPr="006571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maire, Claude Gautier, souhaite inviter tous les maires du pays d'Ancenis et celui de Saint-Florent-le-Vieil </w:t>
      </w:r>
      <w:r w:rsidRPr="0065712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 pour faire la promotion de cette foire et lui donner une dimension de pays ».</w:t>
      </w:r>
    </w:p>
    <w:p w:rsidR="00657124" w:rsidRPr="00657124" w:rsidRDefault="00657124" w:rsidP="00657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124">
        <w:rPr>
          <w:rFonts w:ascii="Times New Roman" w:eastAsia="Times New Roman" w:hAnsi="Times New Roman" w:cs="Times New Roman"/>
          <w:sz w:val="24"/>
          <w:szCs w:val="24"/>
          <w:lang w:eastAsia="fr-FR"/>
        </w:rPr>
        <w:t>Une année d'animations</w:t>
      </w:r>
    </w:p>
    <w:p w:rsidR="00657124" w:rsidRPr="00657124" w:rsidRDefault="00657124" w:rsidP="00657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1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S.I. est très impliqué dans les manifestations </w:t>
      </w:r>
      <w:proofErr w:type="spellStart"/>
      <w:r w:rsidRPr="00657124">
        <w:rPr>
          <w:rFonts w:ascii="Times New Roman" w:eastAsia="Times New Roman" w:hAnsi="Times New Roman" w:cs="Times New Roman"/>
          <w:sz w:val="24"/>
          <w:szCs w:val="24"/>
          <w:lang w:eastAsia="fr-FR"/>
        </w:rPr>
        <w:t>varadaises</w:t>
      </w:r>
      <w:proofErr w:type="spellEnd"/>
      <w:r w:rsidRPr="006571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 Il installera les illuminations de Noël dans le bourg mardi 25 novembre, avec les services techniques de la mairie. Il prêtera main-forte à </w:t>
      </w:r>
      <w:proofErr w:type="spellStart"/>
      <w:r w:rsidRPr="00657124">
        <w:rPr>
          <w:rFonts w:ascii="Times New Roman" w:eastAsia="Times New Roman" w:hAnsi="Times New Roman" w:cs="Times New Roman"/>
          <w:sz w:val="24"/>
          <w:szCs w:val="24"/>
          <w:lang w:eastAsia="fr-FR"/>
        </w:rPr>
        <w:t>Meilleraie</w:t>
      </w:r>
      <w:proofErr w:type="spellEnd"/>
      <w:r w:rsidRPr="006571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Animation pour le marché de Noël, dimanche 7 décembre.</w:t>
      </w:r>
    </w:p>
    <w:p w:rsidR="00657124" w:rsidRPr="00657124" w:rsidRDefault="00657124" w:rsidP="00657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1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la fête de la musique en juin, il apportera de nouveau son soutien logistique au foyer des jeunes. Et il sera présent sur le quai de la </w:t>
      </w:r>
      <w:proofErr w:type="spellStart"/>
      <w:r w:rsidRPr="00657124">
        <w:rPr>
          <w:rFonts w:ascii="Times New Roman" w:eastAsia="Times New Roman" w:hAnsi="Times New Roman" w:cs="Times New Roman"/>
          <w:sz w:val="24"/>
          <w:szCs w:val="24"/>
          <w:lang w:eastAsia="fr-FR"/>
        </w:rPr>
        <w:t>Meilleraie</w:t>
      </w:r>
      <w:proofErr w:type="spellEnd"/>
      <w:r w:rsidRPr="006571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pour la soirée </w:t>
      </w:r>
      <w:proofErr w:type="spellStart"/>
      <w:r w:rsidRPr="00657124">
        <w:rPr>
          <w:rFonts w:ascii="Times New Roman" w:eastAsia="Times New Roman" w:hAnsi="Times New Roman" w:cs="Times New Roman"/>
          <w:sz w:val="24"/>
          <w:szCs w:val="24"/>
          <w:lang w:eastAsia="fr-FR"/>
        </w:rPr>
        <w:t>varadaise</w:t>
      </w:r>
      <w:proofErr w:type="spellEnd"/>
      <w:r w:rsidRPr="006571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Podiums </w:t>
      </w:r>
      <w:proofErr w:type="spellStart"/>
      <w:r w:rsidRPr="00657124">
        <w:rPr>
          <w:rFonts w:ascii="Times New Roman" w:eastAsia="Times New Roman" w:hAnsi="Times New Roman" w:cs="Times New Roman"/>
          <w:sz w:val="24"/>
          <w:szCs w:val="24"/>
          <w:lang w:eastAsia="fr-FR"/>
        </w:rPr>
        <w:t>florentais</w:t>
      </w:r>
      <w:proofErr w:type="spellEnd"/>
      <w:r w:rsidRPr="00657124">
        <w:rPr>
          <w:rFonts w:ascii="Times New Roman" w:eastAsia="Times New Roman" w:hAnsi="Times New Roman" w:cs="Times New Roman"/>
          <w:sz w:val="24"/>
          <w:szCs w:val="24"/>
          <w:lang w:eastAsia="fr-FR"/>
        </w:rPr>
        <w:t>, le vendredi août 2015.</w:t>
      </w:r>
    </w:p>
    <w:p w:rsidR="00657124" w:rsidRPr="00657124" w:rsidRDefault="00657124" w:rsidP="00657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1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Afin de mener à bien toutes ces activités, Jean Clemenceau souhaite que le S.I. se structure. Trois commissions sont créées : commission travaux (principale mission : la préparation et la mise en place de la foire) ; commission festivités (pour l'installation et le démontage lors des </w:t>
      </w:r>
      <w:r w:rsidRPr="00657124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différentes fêtes auxquelles participe le S.I.) ; commission grillades. En plus des commissions restauration et concours, liées à la foire-exposition.</w:t>
      </w:r>
    </w:p>
    <w:p w:rsidR="00657124" w:rsidRPr="00657124" w:rsidRDefault="00657124" w:rsidP="00657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1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conseil d'administration accueille deux nouveaux membres : Jérôme </w:t>
      </w:r>
      <w:proofErr w:type="spellStart"/>
      <w:r w:rsidRPr="00657124">
        <w:rPr>
          <w:rFonts w:ascii="Times New Roman" w:eastAsia="Times New Roman" w:hAnsi="Times New Roman" w:cs="Times New Roman"/>
          <w:sz w:val="24"/>
          <w:szCs w:val="24"/>
          <w:lang w:eastAsia="fr-FR"/>
        </w:rPr>
        <w:t>Chesneau</w:t>
      </w:r>
      <w:proofErr w:type="spellEnd"/>
      <w:r w:rsidRPr="006571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Patrick </w:t>
      </w:r>
      <w:proofErr w:type="spellStart"/>
      <w:r w:rsidRPr="00657124">
        <w:rPr>
          <w:rFonts w:ascii="Times New Roman" w:eastAsia="Times New Roman" w:hAnsi="Times New Roman" w:cs="Times New Roman"/>
          <w:sz w:val="24"/>
          <w:szCs w:val="24"/>
          <w:lang w:eastAsia="fr-FR"/>
        </w:rPr>
        <w:t>Hodé</w:t>
      </w:r>
      <w:proofErr w:type="spellEnd"/>
      <w:r w:rsidRPr="00657124">
        <w:rPr>
          <w:rFonts w:ascii="Times New Roman" w:eastAsia="Times New Roman" w:hAnsi="Times New Roman" w:cs="Times New Roman"/>
          <w:sz w:val="24"/>
          <w:szCs w:val="24"/>
          <w:lang w:eastAsia="fr-FR"/>
        </w:rPr>
        <w:t>. Le syndicat d'initiative compte 54 membres, sans compter les membres de la section yole.</w:t>
      </w:r>
    </w:p>
    <w:p w:rsidR="00640009" w:rsidRDefault="00640009"/>
    <w:sectPr w:rsidR="00640009" w:rsidSect="00640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57124"/>
    <w:rsid w:val="00640009"/>
    <w:rsid w:val="0065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571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642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directdemacommune.ouestfrance.fr/scripts/consult/macommune/pdf/PDF_detail.asp?pdf=S2243962&amp;date=2014-11-11#zoom=125,11,67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directdemacommune.ouestfrance.fr/scripts/consult/macommune/doc/doc_liste.Asp?offset=1&amp;date=2014-11-11&amp;email=crivereaud44%40orange%2Efr&amp;pwd=yvounet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javascript:MM_openBrWindow('/scripts/consult/macommune/doc/doc_zoom.asp?IN_PHOTO=na91_4091442_1&amp;IN_DOCDATE=20141111&amp;email=crivereaud44%40orange%2Efr&amp;pwd=yvounet','miniSite','scrollbars=yes,resizable=yes,width=690,height=570')" TargetMode="External"/><Relationship Id="rId5" Type="http://schemas.openxmlformats.org/officeDocument/2006/relationships/hyperlink" Target="http://endirectdemacommune.ouestfrance.fr/scripts/consult/macommune/doc/doc_liste.Asp?offset=1&amp;date=2014-11-11&amp;email=crivereaud44%40orange%2Efr&amp;pwd=yvounet" TargetMode="External"/><Relationship Id="rId10" Type="http://schemas.openxmlformats.org/officeDocument/2006/relationships/hyperlink" Target="http://endirectdemacommune.ouestfrance.fr/scripts/consult/macommune/pdf/PDF_detail.asp?pdf=S2243962&amp;date=2014-11-11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</dc:creator>
  <cp:keywords/>
  <dc:description/>
  <cp:lastModifiedBy>Mickael</cp:lastModifiedBy>
  <cp:revision>1</cp:revision>
  <dcterms:created xsi:type="dcterms:W3CDTF">2014-11-11T11:25:00Z</dcterms:created>
  <dcterms:modified xsi:type="dcterms:W3CDTF">2014-11-11T11:26:00Z</dcterms:modified>
</cp:coreProperties>
</file>